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CD" w:rsidRDefault="00E61EE1" w:rsidP="000E23CD">
      <w:pPr>
        <w:spacing w:before="100" w:beforeAutospacing="1" w:after="100" w:afterAutospacing="1"/>
        <w:jc w:val="center"/>
        <w:rPr>
          <w:rFonts w:ascii="Tahoma" w:eastAsia="Times New Roman" w:hAnsi="Tahoma" w:cs="Tahoma"/>
          <w:b/>
          <w:bCs/>
          <w:caps/>
          <w:sz w:val="32"/>
          <w:szCs w:val="32"/>
          <w:lang w:eastAsia="pl-PL"/>
        </w:rPr>
      </w:pPr>
      <w:r w:rsidRPr="00834D0F">
        <w:rPr>
          <w:rFonts w:ascii="Tahoma" w:eastAsia="Times New Roman" w:hAnsi="Tahoma" w:cs="Tahoma"/>
          <w:b/>
          <w:bCs/>
          <w:caps/>
          <w:sz w:val="32"/>
          <w:szCs w:val="32"/>
          <w:lang w:eastAsia="pl-PL"/>
        </w:rPr>
        <w:pict/>
      </w:r>
      <w:r w:rsidR="000E23CD" w:rsidRPr="000E23CD">
        <w:rPr>
          <w:rFonts w:ascii="Tahoma" w:eastAsia="Times New Roman" w:hAnsi="Tahoma" w:cs="Tahoma"/>
          <w:b/>
          <w:bCs/>
          <w:caps/>
          <w:sz w:val="32"/>
          <w:szCs w:val="32"/>
          <w:lang w:eastAsia="pl-PL"/>
        </w:rPr>
        <w:t xml:space="preserve"> KOSZTORYS OFERTOWY</w:t>
      </w:r>
    </w:p>
    <w:p w:rsidR="00E61EE1" w:rsidRPr="00E61EE1" w:rsidRDefault="00E61EE1" w:rsidP="000E23CD">
      <w:pPr>
        <w:ind w:left="0" w:firstLine="0"/>
        <w:jc w:val="center"/>
        <w:rPr>
          <w:rFonts w:ascii="Tahoma" w:eastAsia="Times New Roman" w:hAnsi="Tahoma" w:cs="Tahoma"/>
          <w:sz w:val="16"/>
          <w:szCs w:val="16"/>
          <w:lang w:eastAsia="pl-PL"/>
        </w:rPr>
      </w:pPr>
      <w:r w:rsidRPr="00E61EE1">
        <w:rPr>
          <w:rFonts w:ascii="Tahoma" w:eastAsia="Times New Roman" w:hAnsi="Tahoma" w:cs="Tahoma"/>
          <w:sz w:val="16"/>
          <w:szCs w:val="16"/>
          <w:lang w:eastAsia="pl-PL"/>
        </w:rPr>
        <w:br/>
      </w:r>
      <w:r w:rsidRPr="00E61EE1">
        <w:rPr>
          <w:rFonts w:ascii="Tahoma" w:eastAsia="Times New Roman" w:hAnsi="Tahoma" w:cs="Tahoma"/>
          <w:sz w:val="16"/>
          <w:szCs w:val="16"/>
          <w:lang w:eastAsia="pl-PL"/>
        </w:rPr>
        <w:br/>
      </w:r>
      <w:r w:rsidRPr="00E61EE1">
        <w:rPr>
          <w:rFonts w:ascii="Tahoma" w:eastAsia="Times New Roman" w:hAnsi="Tahoma" w:cs="Tahoma"/>
          <w:sz w:val="16"/>
          <w:szCs w:val="16"/>
          <w:lang w:eastAsia="pl-PL"/>
        </w:rPr>
        <w:pict>
          <v:rect id="_x0000_i1025" style="width:0;height:.5pt" o:hralign="center" o:hrstd="t" o:hrnoshade="t" o:hr="t" fillcolor="black" stroked="f"/>
        </w:pict>
      </w:r>
    </w:p>
    <w:p w:rsidR="00EF4AF8" w:rsidRPr="00EF4AF8" w:rsidRDefault="00EF4AF8" w:rsidP="00EF4AF8">
      <w:pPr>
        <w:spacing w:before="100" w:beforeAutospacing="1" w:after="20"/>
        <w:ind w:left="0" w:firstLine="0"/>
        <w:rPr>
          <w:rFonts w:eastAsia="Times New Roman"/>
          <w:lang w:bidi="en-US"/>
        </w:rPr>
      </w:pPr>
      <w:r w:rsidRPr="00EF4AF8">
        <w:rPr>
          <w:rFonts w:eastAsia="Times New Roman"/>
          <w:lang w:bidi="en-US"/>
        </w:rPr>
        <w:t>Zasadnicze zmiany projektowe w odniesieniu do poprzedniego postępowania przetargowego:</w:t>
      </w:r>
    </w:p>
    <w:p w:rsidR="00EF4AF8" w:rsidRPr="00EF4AF8" w:rsidRDefault="00EF4AF8" w:rsidP="00EF4AF8">
      <w:pPr>
        <w:numPr>
          <w:ilvl w:val="0"/>
          <w:numId w:val="4"/>
        </w:numPr>
        <w:spacing w:before="100" w:beforeAutospacing="1" w:after="20"/>
        <w:rPr>
          <w:rFonts w:eastAsia="Times New Roman"/>
          <w:lang w:bidi="en-US"/>
        </w:rPr>
      </w:pPr>
      <w:r w:rsidRPr="00EF4AF8">
        <w:rPr>
          <w:rFonts w:eastAsia="Times New Roman"/>
          <w:lang w:bidi="en-US"/>
        </w:rPr>
        <w:t xml:space="preserve">Zmiana łącznej grubości warstw bitumicznych na jezdni głównej z 18cm do 15cm. </w:t>
      </w:r>
    </w:p>
    <w:p w:rsidR="00EF4AF8" w:rsidRPr="00EF4AF8" w:rsidRDefault="00EF4AF8" w:rsidP="00EF4AF8">
      <w:pPr>
        <w:numPr>
          <w:ilvl w:val="0"/>
          <w:numId w:val="4"/>
        </w:numPr>
        <w:spacing w:before="100" w:beforeAutospacing="1" w:after="20"/>
        <w:rPr>
          <w:rFonts w:eastAsia="Times New Roman"/>
          <w:lang w:bidi="en-US"/>
        </w:rPr>
      </w:pPr>
      <w:r w:rsidRPr="00EF4AF8">
        <w:rPr>
          <w:rFonts w:eastAsia="Times New Roman"/>
          <w:lang w:bidi="en-US"/>
        </w:rPr>
        <w:t>Zmiana łącznej grubości warstw bitumicznych na ścieżce rowerowej z 11cm do 8cm.</w:t>
      </w:r>
    </w:p>
    <w:p w:rsidR="00EF4AF8" w:rsidRPr="00EF4AF8" w:rsidRDefault="00EF4AF8" w:rsidP="00EF4AF8">
      <w:pPr>
        <w:numPr>
          <w:ilvl w:val="0"/>
          <w:numId w:val="4"/>
        </w:numPr>
        <w:spacing w:before="100" w:beforeAutospacing="1" w:after="20"/>
        <w:rPr>
          <w:rFonts w:eastAsia="Times New Roman"/>
          <w:lang w:bidi="en-US"/>
        </w:rPr>
      </w:pPr>
      <w:r w:rsidRPr="00EF4AF8">
        <w:rPr>
          <w:rFonts w:eastAsia="Times New Roman"/>
          <w:lang w:bidi="en-US"/>
        </w:rPr>
        <w:t>Mniejsza ilość robót ziemnych; różnica wynikająca ze zmniejszenia grubości konstrukcji jw.</w:t>
      </w:r>
    </w:p>
    <w:p w:rsidR="00EF4AF8" w:rsidRPr="00EF4AF8" w:rsidRDefault="00EF4AF8" w:rsidP="00EF4AF8">
      <w:pPr>
        <w:numPr>
          <w:ilvl w:val="0"/>
          <w:numId w:val="4"/>
        </w:numPr>
        <w:spacing w:before="100" w:beforeAutospacing="1" w:after="20"/>
        <w:rPr>
          <w:rFonts w:eastAsia="Times New Roman"/>
          <w:lang w:bidi="en-US"/>
        </w:rPr>
      </w:pPr>
      <w:r w:rsidRPr="00EF4AF8">
        <w:rPr>
          <w:rFonts w:eastAsia="Times New Roman"/>
          <w:lang w:bidi="en-US"/>
        </w:rPr>
        <w:t xml:space="preserve">Pofrez (destrukt) bitumiczny oraz inne materiały rozbiórkowe do dyspozycji Wykonawcy a nie Inwestora. </w:t>
      </w:r>
      <w:r w:rsidR="00A23639">
        <w:rPr>
          <w:rFonts w:eastAsia="Times New Roman"/>
          <w:lang w:bidi="en-US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"/>
        <w:gridCol w:w="807"/>
        <w:gridCol w:w="3684"/>
        <w:gridCol w:w="709"/>
        <w:gridCol w:w="1134"/>
        <w:gridCol w:w="1134"/>
        <w:gridCol w:w="1695"/>
      </w:tblGrid>
      <w:tr w:rsidR="00E61EE1">
        <w:trPr>
          <w:trHeight w:val="421"/>
        </w:trPr>
        <w:tc>
          <w:tcPr>
            <w:tcW w:w="297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Jedn.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Cena jedn.</w:t>
            </w:r>
          </w:p>
        </w:tc>
        <w:tc>
          <w:tcPr>
            <w:tcW w:w="870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Wartość</w:t>
            </w: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Roboty przygotowawcze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KNNR 0001 0111-0100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Roboty pomiarowe przy robotach ziemnych, dla dróg w terenie równinnym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W pozycji uwzględnić koszty dokumentacji (inwentaryzacji) powykonawczej.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4600,00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0102-0500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karczowanie krzaków i podszycia średniego od 31-60 % powierzchni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420,00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0101-0400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ścinanie drzew o średnicy 36-45 cm, z karczowaniem pni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9,00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2 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Roboty rozbiórkowe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2.1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0805-0500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Rozebranie chodników z płyt betonowych o wymiarach 35x35x5 cm,na podsypce piaskowej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Chodniki z płyt betonowych, betonowej kostki brukowej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Materiał z rozbiórki do dyspozycji WYKONAWCY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1209,00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2.2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0806-0200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Rozebranie krawężników betonowych na podsypce cementowo piaskowej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Materiał z rozbiórki do dyspozycji WYKONAWCY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844,00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2.3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0102-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Roboty remontowe - frezowanie nawierzchni bitumicznej o grubości średniej 5cm z wywozem materiału z rozbiórki na odległość do 5 km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lastRenderedPageBreak/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Materiał z rozbiórki do dyspozycji WYKONAWCY.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Utylizacja w zakresie wykonawcy.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24836,34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 2.4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0802-0200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rozebranie nawierzchni z kruszywa (żużla wielkopiecowego) o grubości 20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Mieszanka kruszyw łamanych, naturalnych i żużla wielkopiecowego.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 xml:space="preserve">Materiał z rozbiórki do ponownego wykorzystania; nadmiar do dyspozycji WYKONAWCY. 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22192,74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3 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Roboty ziemne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3.1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0202-0901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Roboty ziemne wykonywane koparkami podsiębiernymi, poj. łyżki 1,20 m3, z transportem urobku samochodami samowyład.10-15 t na odległość do 1 km, w gruncie kat. I, II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m3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1983,10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3.2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0202-0901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Roboty ziemne wykonywane koparkami podsiębiernymi, poj. łyżki 1,20 m3, z transportem urobku samochodami samowyład.10-15 t na odległość do 5 km, w gruncie kat. I, II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m3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522,67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3.3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0407-0103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Formowanie i zagęszczenie nasypów o wysokości do 3,0 m spycharkami gąsienicowymi 283 kW/385 KM, grunt kategorii I-II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m3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1983,10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4 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Remont podbudowy i nawierzchni jezdni głównej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0103-0100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Profilowanie i zagęszczanie podłoża pod warstwy konstrukcyjne nawierzchni,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wykonywane ręcznie,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 gruntach kategorii II do IV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25742,80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0201-0100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Stabilizacja podłoża cementem do Rm=1,5 Mpa z gruntu rodzimego, grubość warstwy po zagęszczeniu 10 cm, przy użyciu zespołu do stabilizacji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25742,80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0109-0200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Podbudowy betonowe,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pielęgnacja podbudowy piaskiem i wodą,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grubość warstwy po zagęszczeniu 15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Beton C8/10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57,06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0114-0100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Dolna warstwa podbudowy z żużla wielkopiecowego,grubość warstwy po zagęszczeniu 10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 xml:space="preserve">Materiał z rozbiórki do ponownego wykorzystania;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 xml:space="preserve">Mieszankę kruszyw łamanych, naturalnych i żużla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lastRenderedPageBreak/>
              <w:t>wielkopiecowego należy oczyścić z zanieczyszczeń organicznych przed wbudowaniem.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25742,80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 4.5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0113-0500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Górna warstwa podbudowy z kruszywa łamanego,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grubość warstwy po zagęszczeniu 10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Nie dopuszcza się kruszyw wapiennych. Wyłącznie kruszywa ze skał twardych 0-31,5mm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25742,80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4.6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0202-0100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oczyszczenie i skropienie podbudowy tłuczniowej lub z gruntu stabilizowanego cementem emulsją asfaltową na zimno, zużycie emulsji 0,7 kg/m2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24141,86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4.7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0110-0205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Podbudowy z betonu asfaltowego KR3, grub.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warstwy po zagęszczeniu 5cm, transport mieszanki samochodem samowyładowczym 10-15 t na odleg.5 km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24141,86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4.8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0202-0200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oczyszczenie i skropienie podbudowy lub nawierzchni betonowej/bitumicznej emulsją asfaltową na zimno, zużycie emulsji 0,5 kg/m2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24141,86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4.9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0310-0301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betonu asfaltowego KR3, warstwa wiążąca grub.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po zagęszczeniu 5cm.transport sam.samowył.15-20t z wytwórni o wydajności 100t/h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23693,36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4.10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0202-0200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oczyszczenie i skropienie podbudowy lub nawierzchni betonowej/bitumicznej emulsją asfaltową na zimno, zużycie emulsji 0,5 kg/m2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26370,30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4.11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0310-0501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betonu asfaltowego KR3, warstwa ścieralna grub.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po zagęszczeniu 5cm. Transport sam.samowył.15-20t z wytwórni o wydajności 100t/h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25949,00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5 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Remont skrzyżowań i zjazdów bitumicznych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5.1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0114-0100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Dolna warstwa podbudowy z żużla wielkopiecowego,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grubość warstwy po zagęszczeniu 10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443,79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5.2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0113-0500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Górna warstwa podbudowy z kruszywa łamanego,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grubość warstwy po zagęszczeniu 10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443,79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5.3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0310-0301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betonu asfaltowego KR3, warstwa wiążąca grub.po zagęszczeniu 5cm.transport sam.samowył.15-20t z wytwórni o wydajności 100t/h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443,79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5.4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 Pozycja scalona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KNR AT03 0202-0200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 xml:space="preserve">Mechaniczne oczyszczenie i skropienie podbudowy lub nawierzchni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betonowej/bitumicznej emulsją asfaltową na zimno, zużycie emulsji 0,5 kg/m2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754,83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 5.5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0310-0501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betonu asfaltowego KR3, warstwa ścieralna grub.po zagęszczeniu 5cm. Transport sam.samowył.15-20t z wytwórni o wydajności 100t/h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754,83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6 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Krawężniki, oporniki, obrzeża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6.1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0403-0300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Krawężniki betonowe wystające o wymiarach 15x30x100cm, wraz z wykonaniem ław betonowych.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287,00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6.2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0403-0300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Krawężniki betonowe wystające ŁUKOWE o wymiarach 15x30x100cm, wraz z wykonaniem ław betonowych.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31,00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6.3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0403-0300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Krawężniki betonowe wystające SKOŚNE o wymiarach 15x30x100cm, wraz z wykonaniem ław betonowych.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</w:r>
            <w:r w:rsidR="00A23639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t>Krawężniki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t xml:space="preserve"> przejściowe na zjazdach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6.4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0403-0300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Krawężniki betonowe zjazdowe o wymiarach 15x22x100cm, wraz z wykonaniem ław betonowych.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2603,00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6.5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0403-0300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Oporniki betonowe wystające o wymiarach 12x25x100cm, wraz z wykonaniem ław betonowych.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2426,00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6.6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0231 0402-0400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Ławy betonowe pod obrzeża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C12/15 (B15)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m3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10,13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6.7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0404-0400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Obrzeża betonowe o wymiarach 30x8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307,00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7 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Ścieki z betonowej kostki brukowej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7.1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0103-0100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Profilowanie i zagęszczanie podłoża pod warstwy konstrukcyjne nawierzchni,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wykonywane ręcznie,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 gruntach kategorii II do IV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209,64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7.2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 Pozycja scalona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KNR 0231 0402-0400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Ławy betonowe pod ścieki.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Beton C12/15 (B15)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m3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32,28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 7.3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0502-0300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Ścieki z kostki brukowej betonowej grubości 8 cm, szarej, spoiny wypełniane piaskiem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Kostka brukowa 8*30*30, szara.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209,64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8 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Ścieżka rowerowa w km 11+840,00 - 13+292.00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0103-0100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Profilowanie i zagęszczanie podłoża pod warstwy konstrukcyjne nawierzchni,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wykonywane ręcznie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 gruntach kategorii II do IV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Po robotach rozbiórkowych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0201-0100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Stabilizacja podłoża cementem do Rm=1,5 - 2,5Mpa z kruszywa, grubość warstwy po zagęszczeniu 10 cm, wykonane w betoniarce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0114-0100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Dolna warstwa podbudowy z żużla wielkopiecowego,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grubość warstwy po zagęszczeniu 10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Materiał z odzysku.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0113-0500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Górna warstwa podbudowy z kruszywa łamanego,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grubość warstwy po zagęszczeniu 10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Nie dopuszcza się kruszyw wapiennych. Wyłącznie kruszywa ze skał twardych 0-31,5mm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0202-0100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oczyszczenie i skropienie podbudowy tłuczniowej lub z gruntu stabilizowanego cementem emulsją asfaltową na zimno, zużycie emulsji 0,7 kg/m2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8.6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0310-0301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betonu asfaltowego KR3, warstwa wiążąca grub.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po zagęszczeniu 4cm.transport sam.samowył.15-20t z wytwórni o wydajności 100t/h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8.7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0202-0200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oczyszczenie i skropienie podbudowy lub nawierzchni betonowej/bitumicznej emulsją asfaltową na zimno, zużycie emulsji 0,5 kg/m2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8.8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0310-0501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betonu asfaltowego KR3, warstwa ścieralna grub.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po zagęszczeniu 4cm. Transport sam.samowył.15-20t z wytwórni o wydajności 100t/h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lastRenderedPageBreak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KR3 AC 8S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3367,00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9 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Nawierzchnie z betonowej kostki brukowej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9.1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0103-0100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Profilowanie i zagęszczanie podłoża pod warstwy konstrukcyjne nawierzchni,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wykonywane ręcznie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 gruntach kategorii II do IV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2915,08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9.2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AT03 0201-0100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Stabilizacja podłoża cementem do Rm=1,5 - 2,5Mpa z kruszywa, grubość warstwy po zagęszczeniu 10 cm, wykonane w betoniarce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2216,36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9.3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0109-0200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Podbudowy betonowe,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pielęgnacja podbudowy piaskiem i wodą,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grubość warstwy po zagęszczeniu 15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Beton C8/10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2216,36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9.4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0502-0300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kostki brukowej betonowej grubości 8 cm, szarej, układane na podsypce cementowo piaskowej spoiny wypełniane piaskiem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Kostka brukowa 10*20 gr. 8cm, szara, bez fazy.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2069,86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9.5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0502-0301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Nawierzchnie z kostki brukowej betonowej grubości 8 cm, kolorowej, układane na podsypce cementowo piaskowej spoiny wypełniane piaskiem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Kostka brukowa 10*20 gr. 8cm, czerwona, bez fazy.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146,50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9.6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0502-0300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Chodniki z kostki brukowej betonowej grubości 8 cm, szarej, układane na podsypce cementowo piaskowej spoiny wypełniane piaskiem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Chodniki na podsypce cementowo - piaskowej Rm 2,5-5 Mpa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Kostka brukowa 10*20 gr. 8cm, szara, bez fazy.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698,72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10 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Remont przepustów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10.1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0202-0902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Roboty ziemne wykonywane koparkami podsiębiernymi, poj. łyżki 1,20 m3, z transportem urobku samochodami samowyład.15-20 t na odległość do 1 km, w gruncie kat. I, II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m3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39,00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10.2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0231 0816-0300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Rozebranie przepustów rurowych o średnicy 60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lastRenderedPageBreak/>
              <w:t>Bez odzysku rur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26,00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 10.3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KNR 0233 0601-0101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Części przelotowe prefabrykowanych przepustów drogowych rurowych jednootworowych. część przelotowa przepustu z rur o średnicy 60 cm z zastosowaniem kruszywa.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Grubośc podsypki 15cm z kruszywa 0-31,50mm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26,00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10.4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0004 1413-0101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Studnia rewizyjna z kręgów betonowych , fi 1000 łączonych na uszczelki elastomerowe - beton B45 W-8 , z gotową dennicą z osadzonymi tulejami ochronnymi i wyprofilowaną kinetą głębokości do 1,5m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Na wlocie i wylocie przepustu w km 1+247,91.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Wymiana istniejących studni na nowe. Robota kompleksowa.</w:t>
            </w:r>
            <w:r w:rsidR="00A23639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t>Uwzględnić podłączenie pozostałych wlotów i wylotów.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 xml:space="preserve">Studnia kompletna z pokrywą żelbetową.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Dopuszcza się element murowany zgodnie ze sztuką budowlaną w tym zakresie.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10.5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KNNRw 0004 1424-0200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Studzienki ściekowe uliczne,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betonowe o średnicy 500 mm,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z osadnikiem bez syfonu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kpl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10.6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KNNRw 0004 1308-0300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Kanały z rur PVC łączone na wcisk - rurociągi z PVC o średnicy zewnętrznej 200 mm.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Przykanalik od wpustu do pogłębionego rowu i=0,8%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Od wpustu do rowu pod chodnikiem - strona północna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30,00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10.7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0214-0300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Zasypanie wykopów piaskiem dowiezionym. Wymiana gruntu.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Zasypywanie materiałem dowiezionym przez wykonawcę - PIASEK Liczyć R+M+S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m3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27,75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11 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Umocnienie poboczy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11.1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0202-0100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Umocnienie pobocza, kruszywo rozścielane ręcznie, grubość warstwy po zagęszczeniu 10 cm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Opis: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pl-PL"/>
              </w:rPr>
              <w:br/>
              <w:t>Kruszywo niesortowane granitowe 0-31,5mm - jasne.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4475,78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12 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Roboty towarzyszące i wykończeniowe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12.1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 Pozycja scalona Analiza własna: KNNR 0006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1305-0100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Regulacja pionowa studzienek dla urządzeń podziemnych, objętość betonu w jednym miejscu do 0,1 m3 - W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 12.2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Analiza własna: KNNR 0006 1305-0100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Regulacja pionowa studzienek dla urządzeń podziemnych, objętość betonu w jednym miejscu do 0,1 m3 - KS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12.3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Analiza własna: KNNR 0006 1305-0100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Regulacja pionowa studzienek dla urządzeń podziemnych, objętość betonu w jednym miejscu do 0,1 m3 - Tk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12.4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0502-0100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Mechaniczne plantowanie powierzchni gruntu rodzimego kategorii I-III równiarką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8426,00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12.5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0501-0100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Ręczne plantowanie powierzchni gruntu rodzimego kategorii I-III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4489,00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12.6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0001 0507-0300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Obsianie skarp w ziemi urodzajnej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12915,00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13 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19" w:type="pct"/>
            <w:gridSpan w:val="4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Remont oznakowania </w:t>
            </w:r>
          </w:p>
          <w:p w:rsidR="00E61EE1" w:rsidRDefault="00E61EE1">
            <w:pPr>
              <w:shd w:val="clear" w:color="auto" w:fill="FFFFFF"/>
              <w:spacing w:before="100" w:beforeAutospacing="1" w:after="240"/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Opis:</w:t>
            </w: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13.1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0702-0800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Demontaż słupków ze znakami pionowymi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13.2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0702-0100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Pionowe znaki drogowe,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słupki z rur stalowych o średnicy 60 mm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70,00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13.3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0702-0400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Pionowe znaki drogowe,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znaki zakazu,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nakazu,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ostrzegawcze i informacyjne o powierzchni do 0,3 m2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13.4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0702-0400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Urządzenia bezpieczeństwa ruchu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13.5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0702-0400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Urządzenia bezpieczeństwa ruchu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4,00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lastRenderedPageBreak/>
              <w:t> 13.6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0702-0400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Urządzenia bezpieczeństwa ruchu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szt.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  <w:tr w:rsidR="00E61EE1">
        <w:tc>
          <w:tcPr>
            <w:tcW w:w="0" w:type="auto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13.7</w:t>
            </w:r>
          </w:p>
        </w:tc>
        <w:tc>
          <w:tcPr>
            <w:tcW w:w="414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 Pozycja scalona KNNR 0006 0705-0600</w:t>
            </w:r>
          </w:p>
        </w:tc>
        <w:tc>
          <w:tcPr>
            <w:tcW w:w="1891" w:type="pct"/>
            <w:shd w:val="clear" w:color="auto" w:fill="auto"/>
            <w:hideMark/>
          </w:tcPr>
          <w:p w:rsidR="00E61EE1" w:rsidRDefault="00E61EE1">
            <w:pPr>
              <w:ind w:left="0" w:firstLine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Oznakowanie poziome jezdni farbą chlorokauczukową,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linie na skrzyżowaniach i przejściach dla pieszych,</w:t>
            </w:r>
            <w:r w:rsidR="00A23639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malowane mechanicznie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br/>
              <w:t>Krotność: 1,00</w:t>
            </w:r>
          </w:p>
        </w:tc>
        <w:tc>
          <w:tcPr>
            <w:tcW w:w="364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m2 </w:t>
            </w:r>
          </w:p>
        </w:tc>
        <w:tc>
          <w:tcPr>
            <w:tcW w:w="582" w:type="pct"/>
            <w:shd w:val="clear" w:color="auto" w:fill="auto"/>
            <w:hideMark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623,24</w:t>
            </w:r>
          </w:p>
        </w:tc>
        <w:tc>
          <w:tcPr>
            <w:tcW w:w="582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shd w:val="clear" w:color="auto" w:fill="auto"/>
          </w:tcPr>
          <w:p w:rsidR="00E61EE1" w:rsidRDefault="00E61EE1">
            <w:pPr>
              <w:ind w:left="0" w:firstLine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EF4AF8" w:rsidRDefault="00EF4AF8" w:rsidP="000E23CD">
      <w:pPr>
        <w:ind w:left="0" w:firstLine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:rsidR="000E23CD" w:rsidRDefault="000E23CD" w:rsidP="000E23CD">
      <w:pPr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8"/>
        <w:gridCol w:w="4729"/>
      </w:tblGrid>
      <w:tr w:rsidR="000E23CD">
        <w:trPr>
          <w:trHeight w:val="419"/>
        </w:trPr>
        <w:tc>
          <w:tcPr>
            <w:tcW w:w="9457" w:type="dxa"/>
            <w:gridSpan w:val="2"/>
            <w:shd w:val="clear" w:color="auto" w:fill="auto"/>
            <w:vAlign w:val="center"/>
          </w:tcPr>
          <w:p w:rsidR="000E23CD" w:rsidRPr="000E23CD" w:rsidRDefault="000E23CD">
            <w:pPr>
              <w:ind w:left="0" w:firstLine="0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pl-PL"/>
              </w:rPr>
            </w:pPr>
            <w:r w:rsidRPr="000E23CD">
              <w:rPr>
                <w:rFonts w:ascii="Tahoma" w:eastAsia="Times New Roman" w:hAnsi="Tahoma" w:cs="Tahoma"/>
                <w:b/>
                <w:bCs/>
                <w:color w:val="000000"/>
                <w:kern w:val="2"/>
                <w:sz w:val="20"/>
                <w:szCs w:val="20"/>
                <w:lang w:eastAsia="pl-PL"/>
              </w:rPr>
              <w:t>PODSUMOWANIE:</w:t>
            </w:r>
          </w:p>
        </w:tc>
      </w:tr>
      <w:tr w:rsidR="000E23CD">
        <w:trPr>
          <w:trHeight w:val="419"/>
        </w:trPr>
        <w:tc>
          <w:tcPr>
            <w:tcW w:w="4728" w:type="dxa"/>
            <w:shd w:val="clear" w:color="auto" w:fill="auto"/>
            <w:vAlign w:val="center"/>
          </w:tcPr>
          <w:p w:rsidR="000E23CD" w:rsidRPr="000E23CD" w:rsidRDefault="000E23CD">
            <w:pPr>
              <w:ind w:left="0" w:firstLine="0"/>
              <w:jc w:val="right"/>
              <w:rPr>
                <w:rFonts w:ascii="Times New Roman" w:eastAsia="Times New Roman" w:hAnsi="Times New Roman"/>
                <w:kern w:val="2"/>
                <w:sz w:val="20"/>
                <w:szCs w:val="20"/>
                <w:lang w:eastAsia="pl-PL"/>
              </w:rPr>
            </w:pPr>
            <w:r w:rsidRPr="000E23CD">
              <w:rPr>
                <w:rFonts w:ascii="Tahoma" w:eastAsia="Times New Roman" w:hAnsi="Tahoma" w:cs="Tahoma"/>
                <w:b/>
                <w:bCs/>
                <w:color w:val="000000"/>
                <w:kern w:val="2"/>
                <w:sz w:val="20"/>
                <w:szCs w:val="20"/>
                <w:lang w:eastAsia="pl-PL"/>
              </w:rPr>
              <w:t>Wartość pozycji netto:</w:t>
            </w:r>
          </w:p>
        </w:tc>
        <w:tc>
          <w:tcPr>
            <w:tcW w:w="4729" w:type="dxa"/>
            <w:shd w:val="clear" w:color="auto" w:fill="auto"/>
            <w:vAlign w:val="center"/>
          </w:tcPr>
          <w:p w:rsidR="000E23CD" w:rsidRPr="000E23CD" w:rsidRDefault="000E23CD">
            <w:pPr>
              <w:ind w:left="0" w:firstLine="0"/>
              <w:rPr>
                <w:rFonts w:ascii="Times New Roman" w:eastAsia="Times New Roman" w:hAnsi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0E23CD">
        <w:trPr>
          <w:trHeight w:val="419"/>
        </w:trPr>
        <w:tc>
          <w:tcPr>
            <w:tcW w:w="4728" w:type="dxa"/>
            <w:shd w:val="clear" w:color="auto" w:fill="auto"/>
            <w:vAlign w:val="center"/>
          </w:tcPr>
          <w:p w:rsidR="000E23CD" w:rsidRPr="000E23CD" w:rsidRDefault="000E23CD">
            <w:pPr>
              <w:ind w:left="0" w:firstLine="0"/>
              <w:jc w:val="right"/>
              <w:rPr>
                <w:rFonts w:ascii="Times New Roman" w:eastAsia="Times New Roman" w:hAnsi="Times New Roman"/>
                <w:kern w:val="2"/>
                <w:sz w:val="20"/>
                <w:szCs w:val="20"/>
                <w:lang w:eastAsia="pl-PL"/>
              </w:rPr>
            </w:pPr>
            <w:r w:rsidRPr="000E23CD">
              <w:rPr>
                <w:rFonts w:ascii="Tahoma" w:eastAsia="Times New Roman" w:hAnsi="Tahoma" w:cs="Tahoma"/>
                <w:b/>
                <w:bCs/>
                <w:color w:val="000000"/>
                <w:kern w:val="2"/>
                <w:sz w:val="20"/>
                <w:szCs w:val="20"/>
                <w:lang w:eastAsia="pl-PL"/>
              </w:rPr>
              <w:t>Razem wartość VAT 23%:</w:t>
            </w:r>
          </w:p>
        </w:tc>
        <w:tc>
          <w:tcPr>
            <w:tcW w:w="4729" w:type="dxa"/>
            <w:shd w:val="clear" w:color="auto" w:fill="auto"/>
            <w:vAlign w:val="center"/>
          </w:tcPr>
          <w:p w:rsidR="000E23CD" w:rsidRPr="000E23CD" w:rsidRDefault="000E23CD">
            <w:pPr>
              <w:ind w:left="0" w:firstLine="0"/>
              <w:rPr>
                <w:rFonts w:ascii="Times New Roman" w:eastAsia="Times New Roman" w:hAnsi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0E23CD">
        <w:trPr>
          <w:trHeight w:val="419"/>
        </w:trPr>
        <w:tc>
          <w:tcPr>
            <w:tcW w:w="4728" w:type="dxa"/>
            <w:shd w:val="clear" w:color="auto" w:fill="auto"/>
            <w:vAlign w:val="center"/>
          </w:tcPr>
          <w:p w:rsidR="000E23CD" w:rsidRPr="000E23CD" w:rsidRDefault="000E23CD">
            <w:pPr>
              <w:ind w:left="0" w:firstLine="0"/>
              <w:jc w:val="right"/>
              <w:rPr>
                <w:rFonts w:ascii="Times New Roman" w:eastAsia="Times New Roman" w:hAnsi="Times New Roman"/>
                <w:kern w:val="2"/>
                <w:sz w:val="20"/>
                <w:szCs w:val="20"/>
                <w:lang w:eastAsia="pl-PL"/>
              </w:rPr>
            </w:pPr>
            <w:r w:rsidRPr="000E23CD">
              <w:rPr>
                <w:rFonts w:ascii="Tahoma" w:eastAsia="Times New Roman" w:hAnsi="Tahoma" w:cs="Tahoma"/>
                <w:b/>
                <w:bCs/>
                <w:color w:val="000000"/>
                <w:kern w:val="2"/>
                <w:sz w:val="20"/>
                <w:szCs w:val="20"/>
                <w:lang w:eastAsia="pl-PL"/>
              </w:rPr>
              <w:t>Razem wartość BRUTTO :</w:t>
            </w:r>
          </w:p>
        </w:tc>
        <w:tc>
          <w:tcPr>
            <w:tcW w:w="4729" w:type="dxa"/>
            <w:shd w:val="clear" w:color="auto" w:fill="auto"/>
            <w:vAlign w:val="center"/>
          </w:tcPr>
          <w:p w:rsidR="000E23CD" w:rsidRPr="000E23CD" w:rsidRDefault="000E23CD">
            <w:pPr>
              <w:ind w:left="0" w:firstLine="0"/>
              <w:rPr>
                <w:rFonts w:ascii="Times New Roman" w:eastAsia="Times New Roman" w:hAnsi="Times New Roman"/>
                <w:kern w:val="2"/>
                <w:sz w:val="20"/>
                <w:szCs w:val="20"/>
                <w:lang w:eastAsia="pl-PL"/>
              </w:rPr>
            </w:pPr>
          </w:p>
        </w:tc>
      </w:tr>
    </w:tbl>
    <w:p w:rsidR="000E23CD" w:rsidRDefault="000E23CD" w:rsidP="000E23CD">
      <w:pPr>
        <w:rPr>
          <w:rFonts w:ascii="Tahoma" w:eastAsia="Times New Roman" w:hAnsi="Tahoma" w:cs="Tahoma"/>
          <w:sz w:val="24"/>
          <w:szCs w:val="24"/>
          <w:lang w:eastAsia="pl-PL"/>
        </w:rPr>
      </w:pPr>
    </w:p>
    <w:p w:rsidR="000E23CD" w:rsidRDefault="000E23CD" w:rsidP="000E23CD">
      <w:pPr>
        <w:rPr>
          <w:rFonts w:ascii="Tahoma" w:eastAsia="Times New Roman" w:hAnsi="Tahoma" w:cs="Tahoma"/>
          <w:sz w:val="24"/>
          <w:szCs w:val="24"/>
          <w:lang w:eastAsia="pl-PL"/>
        </w:rPr>
      </w:pPr>
    </w:p>
    <w:p w:rsidR="000E23CD" w:rsidRPr="000E23CD" w:rsidRDefault="000E23CD" w:rsidP="000E23CD">
      <w:pPr>
        <w:spacing w:before="100" w:beforeAutospacing="1" w:after="20"/>
        <w:ind w:left="0" w:firstLine="0"/>
        <w:rPr>
          <w:rFonts w:ascii="Tahoma" w:eastAsia="Times New Roman" w:hAnsi="Tahoma" w:cs="Tahoma"/>
          <w:sz w:val="20"/>
          <w:szCs w:val="20"/>
          <w:lang w:eastAsia="pl-PL"/>
        </w:rPr>
      </w:pPr>
      <w:r w:rsidRPr="000E23CD">
        <w:rPr>
          <w:rFonts w:ascii="Tahoma" w:eastAsia="Times New Roman" w:hAnsi="Tahoma" w:cs="Tahoma"/>
          <w:sz w:val="20"/>
          <w:szCs w:val="20"/>
          <w:lang w:eastAsia="pl-PL"/>
        </w:rPr>
        <w:t>Słownie: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23CD" w:rsidRPr="000E23CD" w:rsidRDefault="000E23CD" w:rsidP="000E23CD">
      <w:pPr>
        <w:spacing w:before="100" w:beforeAutospacing="1" w:after="20"/>
        <w:ind w:left="0" w:firstLine="0"/>
        <w:rPr>
          <w:rFonts w:ascii="Tahoma" w:eastAsia="Times New Roman" w:hAnsi="Tahoma" w:cs="Tahoma"/>
          <w:sz w:val="20"/>
          <w:szCs w:val="20"/>
          <w:lang w:eastAsia="pl-PL"/>
        </w:rPr>
      </w:pPr>
      <w:r w:rsidRPr="000E23CD">
        <w:rPr>
          <w:rFonts w:ascii="Tahoma" w:eastAsia="Times New Roman" w:hAnsi="Tahoma" w:cs="Tahoma"/>
          <w:sz w:val="20"/>
          <w:szCs w:val="20"/>
          <w:lang w:eastAsia="pl-PL"/>
        </w:rPr>
        <w:t xml:space="preserve">Oferta uwzględnia wszystkie zapisy przedmiaru robót.  </w:t>
      </w:r>
    </w:p>
    <w:p w:rsidR="000E23CD" w:rsidRPr="000E23CD" w:rsidRDefault="000E23CD" w:rsidP="000E23CD">
      <w:pPr>
        <w:spacing w:before="100" w:beforeAutospacing="1" w:after="20"/>
        <w:ind w:left="0" w:firstLine="0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0E23CD" w:rsidRPr="000E23CD" w:rsidRDefault="000E23CD" w:rsidP="000E23CD">
      <w:pPr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0E23CD" w:rsidRPr="000E23CD" w:rsidSect="0058133F">
      <w:footerReference w:type="default" r:id="rId7"/>
      <w:pgSz w:w="11906" w:h="16838" w:code="9"/>
      <w:pgMar w:top="1440" w:right="1077" w:bottom="1440" w:left="1304" w:header="709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919" w:rsidRDefault="003F7919" w:rsidP="00834D0F">
      <w:r>
        <w:separator/>
      </w:r>
    </w:p>
  </w:endnote>
  <w:endnote w:type="continuationSeparator" w:id="1">
    <w:p w:rsidR="003F7919" w:rsidRDefault="003F7919" w:rsidP="00834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D0F" w:rsidRPr="00834D0F" w:rsidRDefault="00834D0F" w:rsidP="00834D0F">
    <w:pPr>
      <w:pStyle w:val="Stopka"/>
      <w:jc w:val="center"/>
    </w:pPr>
    <w:r w:rsidRPr="00834D0F">
      <w:t xml:space="preserve">Strona </w:t>
    </w:r>
    <w:fldSimple w:instr="PAGE  \* Arabic  \* MERGEFORMAT">
      <w:r w:rsidR="00833FCB">
        <w:rPr>
          <w:noProof/>
        </w:rPr>
        <w:t>9</w:t>
      </w:r>
    </w:fldSimple>
    <w:r w:rsidRPr="00834D0F">
      <w:t xml:space="preserve"> z </w:t>
    </w:r>
    <w:fldSimple w:instr="NUMPAGES  \* Arabic  \* MERGEFORMAT">
      <w:r w:rsidR="00833FCB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919" w:rsidRDefault="003F7919" w:rsidP="00834D0F">
      <w:r>
        <w:separator/>
      </w:r>
    </w:p>
  </w:footnote>
  <w:footnote w:type="continuationSeparator" w:id="1">
    <w:p w:rsidR="003F7919" w:rsidRDefault="003F7919" w:rsidP="00834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A45BD"/>
    <w:multiLevelType w:val="multilevel"/>
    <w:tmpl w:val="CD48E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451784"/>
    <w:multiLevelType w:val="hybridMultilevel"/>
    <w:tmpl w:val="B6149250"/>
    <w:lvl w:ilvl="0" w:tplc="775A3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21CE7"/>
    <w:multiLevelType w:val="hybridMultilevel"/>
    <w:tmpl w:val="FAF2A858"/>
    <w:lvl w:ilvl="0" w:tplc="033A2C2C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431740"/>
    <w:multiLevelType w:val="hybridMultilevel"/>
    <w:tmpl w:val="45343522"/>
    <w:lvl w:ilvl="0" w:tplc="033A2C2C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DC26A57"/>
    <w:multiLevelType w:val="multilevel"/>
    <w:tmpl w:val="B718B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FA2256"/>
    <w:multiLevelType w:val="multilevel"/>
    <w:tmpl w:val="A282D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1EE1"/>
    <w:rsid w:val="00053B51"/>
    <w:rsid w:val="00060C7C"/>
    <w:rsid w:val="000E23CD"/>
    <w:rsid w:val="00280365"/>
    <w:rsid w:val="00393445"/>
    <w:rsid w:val="003B436E"/>
    <w:rsid w:val="003F7919"/>
    <w:rsid w:val="0048210F"/>
    <w:rsid w:val="004F6A62"/>
    <w:rsid w:val="00572AEA"/>
    <w:rsid w:val="0058133F"/>
    <w:rsid w:val="006867F8"/>
    <w:rsid w:val="006C066A"/>
    <w:rsid w:val="006C5E8F"/>
    <w:rsid w:val="00770F0D"/>
    <w:rsid w:val="00833FCB"/>
    <w:rsid w:val="00834D0F"/>
    <w:rsid w:val="008C7473"/>
    <w:rsid w:val="009E5804"/>
    <w:rsid w:val="00A23639"/>
    <w:rsid w:val="00AB4953"/>
    <w:rsid w:val="00C016A5"/>
    <w:rsid w:val="00C24F3B"/>
    <w:rsid w:val="00E61EE1"/>
    <w:rsid w:val="00EB7AE2"/>
    <w:rsid w:val="00EF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3445"/>
    <w:pPr>
      <w:ind w:left="760" w:hanging="357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93445"/>
    <w:pPr>
      <w:ind w:left="760" w:hanging="357"/>
    </w:pPr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61EE1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koscaption">
    <w:name w:val="koscaption"/>
    <w:basedOn w:val="Normalny"/>
    <w:rsid w:val="00E61EE1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b/>
      <w:bCs/>
      <w:caps/>
      <w:color w:val="808080"/>
      <w:sz w:val="48"/>
      <w:szCs w:val="48"/>
      <w:lang w:eastAsia="pl-PL"/>
    </w:rPr>
  </w:style>
  <w:style w:type="paragraph" w:customStyle="1" w:styleId="kostitle">
    <w:name w:val="kostitle"/>
    <w:basedOn w:val="Normalny"/>
    <w:rsid w:val="00E61EE1"/>
    <w:pPr>
      <w:spacing w:before="100" w:beforeAutospacing="1" w:after="100" w:afterAutospacing="1"/>
      <w:ind w:left="0" w:firstLine="0"/>
      <w:jc w:val="center"/>
    </w:pPr>
    <w:rPr>
      <w:rFonts w:ascii="Tahoma" w:eastAsia="Times New Roman" w:hAnsi="Tahoma" w:cs="Tahoma"/>
      <w:color w:val="000000"/>
      <w:sz w:val="28"/>
      <w:szCs w:val="28"/>
      <w:lang w:eastAsia="pl-PL"/>
    </w:rPr>
  </w:style>
  <w:style w:type="paragraph" w:customStyle="1" w:styleId="body">
    <w:name w:val="body"/>
    <w:basedOn w:val="Normalny"/>
    <w:rsid w:val="00E61EE1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E61E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34D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34D0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34D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34D0F"/>
    <w:rPr>
      <w:sz w:val="22"/>
      <w:szCs w:val="22"/>
      <w:lang w:eastAsia="en-US"/>
    </w:rPr>
  </w:style>
  <w:style w:type="table" w:customStyle="1" w:styleId="Siatkatabelijasna">
    <w:name w:val="Siatka tabeli — jasna"/>
    <w:basedOn w:val="Standardowy"/>
    <w:uiPriority w:val="40"/>
    <w:rsid w:val="000E23CD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0E23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E23CD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599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7099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5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2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2635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57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225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916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96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91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67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26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311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4484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3895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054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6682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8894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68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862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44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281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29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236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7198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54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019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1555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4044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633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71986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2245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Dell</cp:lastModifiedBy>
  <cp:revision>2</cp:revision>
  <cp:lastPrinted>2023-12-28T13:52:00Z</cp:lastPrinted>
  <dcterms:created xsi:type="dcterms:W3CDTF">2024-01-08T12:32:00Z</dcterms:created>
  <dcterms:modified xsi:type="dcterms:W3CDTF">2024-01-08T12:32:00Z</dcterms:modified>
</cp:coreProperties>
</file>